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D0" w:rsidRPr="00D90EFD" w:rsidRDefault="00F676D0" w:rsidP="00F676D0">
      <w:pPr>
        <w:widowControl/>
        <w:spacing w:after="240" w:line="400" w:lineRule="exact"/>
        <w:jc w:val="center"/>
        <w:outlineLvl w:val="0"/>
        <w:rPr>
          <w:rFonts w:ascii="Times New Roman" w:eastAsia="標楷體" w:hAnsi="Times New Roman"/>
          <w:b/>
          <w:color w:val="000000"/>
          <w:sz w:val="22"/>
          <w:szCs w:val="26"/>
        </w:rPr>
      </w:pPr>
      <w:bookmarkStart w:id="0" w:name="_GoBack"/>
      <w:r w:rsidRPr="00D90EFD">
        <w:rPr>
          <w:rFonts w:ascii="Times New Roman" w:eastAsia="標楷體" w:hAnsi="Times New Roman"/>
          <w:b/>
          <w:color w:val="000000"/>
          <w:sz w:val="28"/>
          <w:szCs w:val="36"/>
        </w:rPr>
        <w:t>國立臺東大學傑出通識教學教師遴選要點</w:t>
      </w:r>
    </w:p>
    <w:bookmarkEnd w:id="0"/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95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3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次行政會議通過（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96.05.17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98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次行政會議修正通過（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98.09.17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98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3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次行政會議修正通過（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99.05.13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次臨時行政會議修正通過（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101.10.11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次通識教育中心會議修正通過（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102.03.04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次通識教育諮詢委員會核備（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102.03.11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次通識教育中心會議修正通過（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102.10.09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wordWrap w:val="0"/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次通識教育諮詢委員會核備（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102.10.14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次通識教育中心會議修正通過（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103.03.17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次通識教育諮詢委員會核備（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103.05.29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103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次通識教育中心會議修正通過（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104.04.13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jc w:val="right"/>
        <w:rPr>
          <w:rFonts w:ascii="Times New Roman" w:eastAsia="標楷體" w:hAnsi="Times New Roman"/>
          <w:bCs/>
          <w:color w:val="000000"/>
          <w:sz w:val="18"/>
          <w:szCs w:val="18"/>
        </w:rPr>
      </w:pP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112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學年度第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學期第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2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次通識教育中心會議修正通過（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113.06.21</w:t>
      </w:r>
      <w:r w:rsidRPr="00D90EFD">
        <w:rPr>
          <w:rFonts w:ascii="Times New Roman" w:eastAsia="標楷體" w:hAnsi="Times New Roman"/>
          <w:bCs/>
          <w:color w:val="000000"/>
          <w:sz w:val="18"/>
          <w:szCs w:val="18"/>
        </w:rPr>
        <w:t>）</w:t>
      </w:r>
    </w:p>
    <w:p w:rsidR="00F676D0" w:rsidRPr="00D90EFD" w:rsidRDefault="00F676D0" w:rsidP="00F676D0">
      <w:pPr>
        <w:snapToGrid w:val="0"/>
        <w:jc w:val="right"/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</w:pP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113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學年度第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1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學期第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1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次通識教育諮詢委員會核備（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113.</w:t>
      </w:r>
      <w:r>
        <w:rPr>
          <w:rFonts w:ascii="Times New Roman" w:eastAsia="標楷體" w:hAnsi="Times New Roman" w:hint="eastAsia"/>
          <w:b/>
          <w:color w:val="FF0000"/>
          <w:sz w:val="18"/>
          <w:szCs w:val="18"/>
          <w:u w:val="single"/>
        </w:rPr>
        <w:t>11</w:t>
      </w:r>
      <w:r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.</w:t>
      </w:r>
      <w:r>
        <w:rPr>
          <w:rFonts w:ascii="Times New Roman" w:eastAsia="標楷體" w:hAnsi="Times New Roman" w:hint="eastAsia"/>
          <w:b/>
          <w:color w:val="FF0000"/>
          <w:sz w:val="18"/>
          <w:szCs w:val="18"/>
          <w:u w:val="single"/>
        </w:rPr>
        <w:t>14</w:t>
      </w:r>
      <w:r w:rsidRPr="00D90EFD">
        <w:rPr>
          <w:rFonts w:ascii="Times New Roman" w:eastAsia="標楷體" w:hAnsi="Times New Roman"/>
          <w:b/>
          <w:color w:val="FF0000"/>
          <w:sz w:val="18"/>
          <w:szCs w:val="18"/>
          <w:u w:val="single"/>
        </w:rPr>
        <w:t>）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spacing w:before="24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一、為表彰通識教育教師典範，鼓勵優秀教師投入通識教育，提昇教師教學績效及提高教學品質，特依據「國立臺東大學獎勵傑出教學要點」訂定「國立臺東大學通識教學教師遴選要點」（以下簡稱本要點）。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二、本校傑出通識教學教師遴選每年辦理一次。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三、獎勵名額：</w:t>
      </w:r>
      <w:r w:rsidRPr="00D90EFD">
        <w:rPr>
          <w:rFonts w:ascii="Times New Roman" w:eastAsia="標楷體" w:hAnsi="Times New Roman"/>
          <w:color w:val="000000"/>
        </w:rPr>
        <w:t xml:space="preserve"> 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Chars="200" w:left="480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通識教育中心（以下簡稱本中心）遴選傑出通識教學教師至多二名。當選為本校傑出通識教學教師者，獲推薦參加全國傑出通識教育教師選拔。</w:t>
      </w:r>
    </w:p>
    <w:p w:rsidR="00F676D0" w:rsidRPr="00D90EFD" w:rsidRDefault="00F676D0" w:rsidP="00F676D0">
      <w:pPr>
        <w:widowControl/>
        <w:adjustRightInd w:val="0"/>
        <w:snapToGrid w:val="0"/>
        <w:ind w:left="360" w:hangingChars="150" w:hanging="36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四、遴選機制：</w:t>
      </w:r>
      <w:r w:rsidRPr="00D90EFD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100" w:firstLine="24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（一）候選資格：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1.</w:t>
      </w:r>
      <w:r w:rsidRPr="00D90EFD">
        <w:rPr>
          <w:rFonts w:ascii="Times New Roman" w:eastAsia="標楷體" w:hAnsi="Times New Roman"/>
          <w:color w:val="000000"/>
          <w:kern w:val="0"/>
        </w:rPr>
        <w:t>本校編制內專任教師。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2.</w:t>
      </w:r>
      <w:r w:rsidRPr="00D90EFD">
        <w:rPr>
          <w:rFonts w:ascii="Times New Roman" w:eastAsia="標楷體" w:hAnsi="Times New Roman"/>
          <w:b/>
          <w:color w:val="FF0000"/>
          <w:kern w:val="0"/>
          <w:u w:val="single"/>
        </w:rPr>
        <w:t>六年內</w:t>
      </w:r>
      <w:r w:rsidRPr="00D90EFD">
        <w:rPr>
          <w:rFonts w:ascii="Times New Roman" w:eastAsia="標楷體" w:hAnsi="Times New Roman"/>
          <w:color w:val="000000"/>
          <w:kern w:val="0"/>
        </w:rPr>
        <w:t>具開設本校通識課程至少</w:t>
      </w:r>
      <w:r w:rsidRPr="00D90EFD">
        <w:rPr>
          <w:rFonts w:ascii="Times New Roman" w:eastAsia="標楷體" w:hAnsi="Times New Roman"/>
          <w:b/>
          <w:color w:val="FF0000"/>
          <w:kern w:val="0"/>
          <w:u w:val="single"/>
        </w:rPr>
        <w:t>六學期以上</w:t>
      </w:r>
      <w:r w:rsidRPr="00D90EFD">
        <w:rPr>
          <w:rFonts w:ascii="Times New Roman" w:eastAsia="標楷體" w:hAnsi="Times New Roman"/>
          <w:color w:val="000000"/>
          <w:kern w:val="0"/>
        </w:rPr>
        <w:t>之經歷。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3.</w:t>
      </w:r>
      <w:r w:rsidRPr="00D90EFD">
        <w:rPr>
          <w:rFonts w:ascii="Times New Roman" w:eastAsia="標楷體" w:hAnsi="Times New Roman"/>
          <w:color w:val="000000"/>
          <w:kern w:val="0"/>
        </w:rPr>
        <w:t>經由校內師生、各系所或通識教育中心會議主動推薦者。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4.</w:t>
      </w:r>
      <w:r w:rsidRPr="00D90EFD">
        <w:rPr>
          <w:rFonts w:ascii="Times New Roman" w:eastAsia="標楷體" w:hAnsi="Times New Roman"/>
          <w:color w:val="000000"/>
          <w:kern w:val="0"/>
        </w:rPr>
        <w:t>通識教育中心知會受推薦教師準備下列資料：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(1)</w:t>
      </w:r>
      <w:r w:rsidRPr="00D90EFD">
        <w:rPr>
          <w:rFonts w:ascii="Times New Roman" w:eastAsia="標楷體" w:hAnsi="Times New Roman"/>
          <w:color w:val="000000"/>
          <w:kern w:val="0"/>
        </w:rPr>
        <w:t>推薦表。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(2)</w:t>
      </w:r>
      <w:r w:rsidRPr="00D90EFD">
        <w:rPr>
          <w:rFonts w:ascii="Times New Roman" w:eastAsia="標楷體" w:hAnsi="Times New Roman"/>
          <w:color w:val="000000"/>
          <w:kern w:val="0"/>
        </w:rPr>
        <w:t>候選人資料表。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(3)</w:t>
      </w:r>
      <w:r w:rsidRPr="00D90EFD">
        <w:rPr>
          <w:rFonts w:ascii="Times New Roman" w:eastAsia="標楷體" w:hAnsi="Times New Roman"/>
          <w:color w:val="000000"/>
          <w:kern w:val="0"/>
        </w:rPr>
        <w:t>通識教育經歷與榮譽證明文件等影本。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(4)</w:t>
      </w:r>
      <w:r w:rsidRPr="00D90EFD">
        <w:rPr>
          <w:rFonts w:ascii="Times New Roman" w:eastAsia="標楷體" w:hAnsi="Times New Roman"/>
          <w:b/>
          <w:color w:val="FF0000"/>
          <w:kern w:val="0"/>
          <w:u w:val="single"/>
        </w:rPr>
        <w:t>六</w:t>
      </w:r>
      <w:r w:rsidRPr="00D90EFD">
        <w:rPr>
          <w:rFonts w:ascii="Times New Roman" w:eastAsia="標楷體" w:hAnsi="Times New Roman"/>
          <w:color w:val="000000"/>
          <w:kern w:val="0"/>
        </w:rPr>
        <w:t>年內開課之通識課程。如設有教學網頁，其資料請一併附上。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(5)</w:t>
      </w:r>
      <w:r w:rsidRPr="00D90EFD">
        <w:rPr>
          <w:rFonts w:ascii="Times New Roman" w:eastAsia="標楷體" w:hAnsi="Times New Roman"/>
          <w:b/>
          <w:color w:val="FF0000"/>
          <w:kern w:val="0"/>
          <w:u w:val="single"/>
        </w:rPr>
        <w:t>六</w:t>
      </w:r>
      <w:r w:rsidRPr="00D90EFD">
        <w:rPr>
          <w:rFonts w:ascii="Times New Roman" w:eastAsia="標楷體" w:hAnsi="Times New Roman"/>
          <w:color w:val="000000"/>
          <w:kern w:val="0"/>
        </w:rPr>
        <w:t>年內開設之通識課程之</w:t>
      </w:r>
      <w:r w:rsidRPr="00F676D0">
        <w:rPr>
          <w:rFonts w:ascii="Times New Roman" w:eastAsia="標楷體" w:hAnsi="Times New Roman" w:hint="eastAsia"/>
          <w:b/>
          <w:color w:val="FF0000"/>
          <w:kern w:val="0"/>
          <w:u w:val="single"/>
        </w:rPr>
        <w:t>教學意見反映</w:t>
      </w:r>
      <w:r w:rsidRPr="00D90EFD">
        <w:rPr>
          <w:rFonts w:ascii="Times New Roman" w:eastAsia="標楷體" w:hAnsi="Times New Roman"/>
          <w:color w:val="000000"/>
          <w:kern w:val="0"/>
        </w:rPr>
        <w:t>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500" w:firstLine="120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(6)</w:t>
      </w:r>
      <w:r w:rsidRPr="00D90EFD">
        <w:rPr>
          <w:rFonts w:ascii="Times New Roman" w:eastAsia="標楷體" w:hAnsi="Times New Roman"/>
          <w:color w:val="000000"/>
          <w:kern w:val="0"/>
        </w:rPr>
        <w:t>其它與通識教育相關之教學、研究與服務表現資料。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100" w:firstLine="24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（二）遴選方式：</w:t>
      </w:r>
    </w:p>
    <w:p w:rsidR="00F676D0" w:rsidRPr="00D90EFD" w:rsidRDefault="00F676D0" w:rsidP="00F676D0">
      <w:pPr>
        <w:widowControl/>
        <w:adjustRightInd w:val="0"/>
        <w:snapToGrid w:val="0"/>
        <w:ind w:leftChars="529" w:left="1481" w:hangingChars="88" w:hanging="211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1.</w:t>
      </w:r>
      <w:r w:rsidRPr="00D90EFD">
        <w:rPr>
          <w:rFonts w:ascii="Times New Roman" w:eastAsia="標楷體" w:hAnsi="Times New Roman"/>
          <w:color w:val="000000"/>
          <w:kern w:val="0"/>
        </w:rPr>
        <w:t>由通識教育中心會議委員審查遴選。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2.</w:t>
      </w:r>
      <w:r w:rsidRPr="00D90EFD">
        <w:rPr>
          <w:rFonts w:ascii="Times New Roman" w:eastAsia="標楷體" w:hAnsi="Times New Roman"/>
          <w:color w:val="000000"/>
          <w:kern w:val="0"/>
        </w:rPr>
        <w:t>推薦原則：</w:t>
      </w:r>
      <w:r w:rsidRPr="00D90EFD">
        <w:rPr>
          <w:rFonts w:ascii="Times New Roman" w:eastAsia="標楷體" w:hAnsi="Times New Roman"/>
          <w:color w:val="000000"/>
          <w:kern w:val="0"/>
        </w:rPr>
        <w:t xml:space="preserve"> 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(1)</w:t>
      </w:r>
      <w:r w:rsidRPr="00D90EFD">
        <w:rPr>
          <w:rFonts w:ascii="Times New Roman" w:eastAsia="標楷體" w:hAnsi="Times New Roman"/>
          <w:color w:val="000000"/>
          <w:kern w:val="0"/>
        </w:rPr>
        <w:t>具有清晰且正確的通識教育理念，並能將通識教育理念充分體現於所開設之通識課程中。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(2)</w:t>
      </w:r>
      <w:r w:rsidRPr="00D90EFD">
        <w:rPr>
          <w:rFonts w:ascii="Times New Roman" w:eastAsia="標楷體" w:hAnsi="Times New Roman"/>
          <w:color w:val="000000"/>
          <w:kern w:val="0"/>
        </w:rPr>
        <w:t>通識課程教材及內容，足為同類型課程楷模。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(3)</w:t>
      </w:r>
      <w:r w:rsidRPr="00D90EFD">
        <w:rPr>
          <w:rFonts w:ascii="Times New Roman" w:eastAsia="標楷體" w:hAnsi="Times New Roman"/>
          <w:color w:val="000000"/>
          <w:kern w:val="0"/>
        </w:rPr>
        <w:t>通識課程教學方法創新，能激發學生學習動機，養成學生對知識、價值與生命進行反省、批判與統整之能力，同時促進學生的行動抉擇能力。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(4)</w:t>
      </w:r>
      <w:r w:rsidRPr="00D90EFD">
        <w:rPr>
          <w:rFonts w:ascii="Times New Roman" w:eastAsia="標楷體" w:hAnsi="Times New Roman"/>
          <w:color w:val="000000"/>
          <w:kern w:val="0"/>
        </w:rPr>
        <w:t>課程實踐能充分達成通識教育目標，教學成效深受同儕與學生肯定。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100" w:firstLine="240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（三）遴選程序：遴選作業分初審、複審、決審三階段進行。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1.</w:t>
      </w:r>
      <w:r w:rsidRPr="00D90EFD">
        <w:rPr>
          <w:rFonts w:ascii="Times New Roman" w:eastAsia="標楷體" w:hAnsi="Times New Roman"/>
          <w:color w:val="000000"/>
          <w:kern w:val="0"/>
        </w:rPr>
        <w:t>初審：採書面及會議型式進行審查。</w:t>
      </w:r>
    </w:p>
    <w:p w:rsidR="00F676D0" w:rsidRPr="00D90EFD" w:rsidRDefault="00F676D0" w:rsidP="00F676D0">
      <w:pPr>
        <w:widowControl/>
        <w:adjustRightInd w:val="0"/>
        <w:snapToGrid w:val="0"/>
        <w:ind w:leftChars="100" w:left="240" w:firstLineChars="430" w:firstLine="1032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2.</w:t>
      </w:r>
      <w:r w:rsidRPr="00D90EFD">
        <w:rPr>
          <w:rFonts w:ascii="Times New Roman" w:eastAsia="標楷體" w:hAnsi="Times New Roman"/>
          <w:color w:val="000000"/>
          <w:kern w:val="0"/>
        </w:rPr>
        <w:t>複審：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(1)</w:t>
      </w:r>
      <w:r w:rsidRPr="00D90EFD">
        <w:rPr>
          <w:rFonts w:ascii="Times New Roman" w:eastAsia="標楷體" w:hAnsi="Times New Roman"/>
          <w:color w:val="000000"/>
          <w:kern w:val="0"/>
        </w:rPr>
        <w:t>視遴選作業之必要性，得依初審會議決議邀請進入複審之候選人提供面談或進行教學觀摩。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(2)</w:t>
      </w:r>
      <w:r w:rsidRPr="00D90EFD">
        <w:rPr>
          <w:rFonts w:ascii="Times New Roman" w:eastAsia="標楷體" w:hAnsi="Times New Roman"/>
          <w:color w:val="000000"/>
          <w:kern w:val="0"/>
        </w:rPr>
        <w:t>召開複審會議議決推薦名單。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lastRenderedPageBreak/>
        <w:t>(3)</w:t>
      </w:r>
      <w:r w:rsidRPr="00D90EFD">
        <w:rPr>
          <w:rFonts w:ascii="Times New Roman" w:eastAsia="標楷體" w:hAnsi="Times New Roman"/>
          <w:color w:val="000000"/>
          <w:kern w:val="0"/>
        </w:rPr>
        <w:t>複審會議應有委員三分之二以上人員出席，獲推薦者應獲得出席委員三分之二以上之同意，始得推薦。</w:t>
      </w:r>
    </w:p>
    <w:p w:rsidR="00F676D0" w:rsidRPr="00D90EFD" w:rsidRDefault="00F676D0" w:rsidP="00F676D0">
      <w:pPr>
        <w:widowControl/>
        <w:adjustRightInd w:val="0"/>
        <w:snapToGrid w:val="0"/>
        <w:ind w:leftChars="630" w:left="1800" w:hangingChars="120" w:hanging="288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(4)</w:t>
      </w:r>
      <w:r w:rsidRPr="00D90EFD">
        <w:rPr>
          <w:rFonts w:ascii="Times New Roman" w:eastAsia="標楷體" w:hAnsi="Times New Roman"/>
          <w:color w:val="000000"/>
          <w:kern w:val="0"/>
        </w:rPr>
        <w:t>本獎項得為當選人從缺之決議。</w:t>
      </w:r>
    </w:p>
    <w:p w:rsidR="00F676D0" w:rsidRPr="00D90EFD" w:rsidRDefault="00F676D0" w:rsidP="00F676D0">
      <w:pPr>
        <w:widowControl/>
        <w:adjustRightInd w:val="0"/>
        <w:snapToGrid w:val="0"/>
        <w:ind w:leftChars="529" w:left="2201" w:hangingChars="388" w:hanging="931"/>
        <w:rPr>
          <w:rFonts w:ascii="Times New Roman" w:eastAsia="標楷體" w:hAnsi="Times New Roman"/>
          <w:color w:val="000000"/>
          <w:kern w:val="0"/>
        </w:rPr>
      </w:pPr>
      <w:r w:rsidRPr="00D90EFD">
        <w:rPr>
          <w:rFonts w:ascii="Times New Roman" w:eastAsia="標楷體" w:hAnsi="Times New Roman"/>
          <w:color w:val="000000"/>
          <w:kern w:val="0"/>
        </w:rPr>
        <w:t>3.</w:t>
      </w:r>
      <w:r w:rsidRPr="00D90EFD">
        <w:rPr>
          <w:rFonts w:ascii="Times New Roman" w:eastAsia="標楷體" w:hAnsi="Times New Roman"/>
          <w:color w:val="000000"/>
          <w:kern w:val="0"/>
        </w:rPr>
        <w:t>決審：本中心推薦至多二名傑出通識教</w:t>
      </w:r>
      <w:r w:rsidRPr="00D90EFD">
        <w:rPr>
          <w:rFonts w:ascii="Times New Roman" w:eastAsia="標楷體" w:hAnsi="Times New Roman"/>
          <w:color w:val="000000"/>
        </w:rPr>
        <w:t>學</w:t>
      </w:r>
      <w:r w:rsidRPr="00D90EFD">
        <w:rPr>
          <w:rFonts w:ascii="Times New Roman" w:eastAsia="標楷體" w:hAnsi="Times New Roman"/>
          <w:color w:val="000000"/>
          <w:kern w:val="0"/>
        </w:rPr>
        <w:t>教師，</w:t>
      </w:r>
      <w:r w:rsidRPr="00D90EFD">
        <w:rPr>
          <w:rFonts w:ascii="Times New Roman" w:eastAsia="標楷體" w:hAnsi="Times New Roman"/>
          <w:color w:val="000000"/>
        </w:rPr>
        <w:t>送本校校級傑出教學教師評選委員會審查</w:t>
      </w:r>
      <w:r w:rsidRPr="00D90EFD">
        <w:rPr>
          <w:rFonts w:ascii="Times New Roman" w:eastAsia="標楷體" w:hAnsi="Times New Roman"/>
          <w:color w:val="000000"/>
          <w:kern w:val="0"/>
        </w:rPr>
        <w:t>。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五、經核定獲選為本校傑出通識教學教師者，由校長於公開場合頒發獎牌一面及獎勵金新台幣伍萬元，所需經費由校務基金項下支應。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六、獲頒本校傑出通識教學教師者，二年內不得再為本獎項之候選人。</w:t>
      </w:r>
    </w:p>
    <w:p w:rsidR="00F676D0" w:rsidRPr="00D90EFD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七、本要點未盡事宜，依「國立臺東大學獎勵傑出教學要點」規定辦理。</w:t>
      </w:r>
    </w:p>
    <w:p w:rsidR="00070C25" w:rsidRPr="00F676D0" w:rsidRDefault="00F676D0" w:rsidP="00F676D0">
      <w:pPr>
        <w:autoSpaceDE w:val="0"/>
        <w:autoSpaceDN w:val="0"/>
        <w:adjustRightInd w:val="0"/>
        <w:snapToGrid w:val="0"/>
        <w:ind w:left="461" w:hangingChars="192" w:hanging="461"/>
        <w:rPr>
          <w:rFonts w:ascii="Times New Roman" w:eastAsia="標楷體" w:hAnsi="Times New Roman"/>
          <w:color w:val="000000"/>
        </w:rPr>
      </w:pPr>
      <w:r w:rsidRPr="00D90EFD">
        <w:rPr>
          <w:rFonts w:ascii="Times New Roman" w:eastAsia="標楷體" w:hAnsi="Times New Roman"/>
          <w:color w:val="000000"/>
        </w:rPr>
        <w:t>八、本要點經通識教育中心會議通過，陳請校長核定後實施，修正時亦同。</w:t>
      </w:r>
    </w:p>
    <w:sectPr w:rsidR="00070C25" w:rsidRPr="00F676D0" w:rsidSect="003F0EC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C22" w:rsidRDefault="00B33C22" w:rsidP="00104E19">
      <w:r>
        <w:separator/>
      </w:r>
    </w:p>
  </w:endnote>
  <w:endnote w:type="continuationSeparator" w:id="0">
    <w:p w:rsidR="00B33C22" w:rsidRDefault="00B33C22" w:rsidP="0010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C22" w:rsidRDefault="00B33C22" w:rsidP="00104E19">
      <w:r>
        <w:separator/>
      </w:r>
    </w:p>
  </w:footnote>
  <w:footnote w:type="continuationSeparator" w:id="0">
    <w:p w:rsidR="00B33C22" w:rsidRDefault="00B33C22" w:rsidP="00104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8475E"/>
    <w:multiLevelType w:val="hybridMultilevel"/>
    <w:tmpl w:val="88D48E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315EAB"/>
    <w:multiLevelType w:val="hybridMultilevel"/>
    <w:tmpl w:val="4D9A5D6E"/>
    <w:lvl w:ilvl="0" w:tplc="B1CA1106">
      <w:start w:val="1"/>
      <w:numFmt w:val="decimal"/>
      <w:lvlText w:val="%1."/>
      <w:lvlJc w:val="left"/>
      <w:pPr>
        <w:ind w:left="1212" w:hanging="360"/>
      </w:pPr>
      <w:rPr>
        <w:rFonts w:hint="default"/>
        <w:b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ECC"/>
    <w:rsid w:val="00070C25"/>
    <w:rsid w:val="00104E19"/>
    <w:rsid w:val="00143C14"/>
    <w:rsid w:val="00162447"/>
    <w:rsid w:val="00280523"/>
    <w:rsid w:val="003F0ECC"/>
    <w:rsid w:val="004352D4"/>
    <w:rsid w:val="004C2BF9"/>
    <w:rsid w:val="004D0D03"/>
    <w:rsid w:val="006065DF"/>
    <w:rsid w:val="00607FE7"/>
    <w:rsid w:val="00697484"/>
    <w:rsid w:val="006D4F8E"/>
    <w:rsid w:val="00733D37"/>
    <w:rsid w:val="00782683"/>
    <w:rsid w:val="00787A61"/>
    <w:rsid w:val="007A4666"/>
    <w:rsid w:val="0093737D"/>
    <w:rsid w:val="009C62A0"/>
    <w:rsid w:val="00A10641"/>
    <w:rsid w:val="00A916EF"/>
    <w:rsid w:val="00B33C22"/>
    <w:rsid w:val="00B40F1A"/>
    <w:rsid w:val="00C90E11"/>
    <w:rsid w:val="00CB777E"/>
    <w:rsid w:val="00CC0DD3"/>
    <w:rsid w:val="00CF464C"/>
    <w:rsid w:val="00DB4938"/>
    <w:rsid w:val="00E229F4"/>
    <w:rsid w:val="00E319EF"/>
    <w:rsid w:val="00F04762"/>
    <w:rsid w:val="00F6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7234E5"/>
  <w15:chartTrackingRefBased/>
  <w15:docId w15:val="{F4FE513F-7D4C-4D5B-B9A3-EF78BD3B5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EC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04E19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04E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04E19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05651-A341-4260-8836-1B0FBDC1A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使用者</cp:lastModifiedBy>
  <cp:revision>2</cp:revision>
  <cp:lastPrinted>2023-02-07T05:07:00Z</cp:lastPrinted>
  <dcterms:created xsi:type="dcterms:W3CDTF">2024-11-27T02:23:00Z</dcterms:created>
  <dcterms:modified xsi:type="dcterms:W3CDTF">2024-11-27T02:23:00Z</dcterms:modified>
</cp:coreProperties>
</file>