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F4" w:rsidRPr="00AB4D45" w:rsidRDefault="00C56BF4" w:rsidP="00C56BF4">
      <w:pPr>
        <w:jc w:val="center"/>
        <w:rPr>
          <w:rFonts w:ascii="Calibri" w:eastAsiaTheme="majorEastAsia" w:hAnsi="Calibri" w:hint="eastAsia"/>
          <w:b/>
          <w:sz w:val="32"/>
          <w:szCs w:val="32"/>
        </w:rPr>
      </w:pPr>
      <w:r w:rsidRPr="00AB4D45">
        <w:rPr>
          <w:rFonts w:ascii="Calibri" w:eastAsiaTheme="majorEastAsia" w:hAnsi="Calibri"/>
          <w:b/>
          <w:sz w:val="32"/>
          <w:szCs w:val="32"/>
        </w:rPr>
        <w:t>10</w:t>
      </w:r>
      <w:r w:rsidR="00C5194C" w:rsidRPr="00AB4D45">
        <w:rPr>
          <w:rFonts w:ascii="Calibri" w:eastAsiaTheme="majorEastAsia" w:hAnsi="Calibri" w:hint="eastAsia"/>
          <w:b/>
          <w:sz w:val="32"/>
          <w:szCs w:val="32"/>
        </w:rPr>
        <w:t>8</w:t>
      </w:r>
      <w:r w:rsidRPr="00AB4D45">
        <w:rPr>
          <w:rFonts w:ascii="Calibri" w:eastAsiaTheme="majorEastAsia" w:hAnsi="Calibri"/>
          <w:b/>
          <w:sz w:val="32"/>
          <w:szCs w:val="32"/>
        </w:rPr>
        <w:t>學年度第</w:t>
      </w:r>
      <w:r w:rsidR="00C5194C" w:rsidRPr="00AB4D45">
        <w:rPr>
          <w:rFonts w:ascii="Calibri" w:eastAsiaTheme="majorEastAsia" w:hAnsi="Calibri" w:hint="eastAsia"/>
          <w:b/>
          <w:sz w:val="32"/>
          <w:szCs w:val="32"/>
        </w:rPr>
        <w:t>1</w:t>
      </w:r>
      <w:r w:rsidRPr="00AB4D45">
        <w:rPr>
          <w:rFonts w:ascii="Calibri" w:eastAsiaTheme="majorEastAsia" w:hAnsi="Calibri"/>
          <w:b/>
          <w:sz w:val="32"/>
          <w:szCs w:val="32"/>
        </w:rPr>
        <w:t>學期通識講座記錄</w:t>
      </w:r>
    </w:p>
    <w:p w:rsidR="00AB4D45" w:rsidRPr="00AB4D45" w:rsidRDefault="00AB4D45" w:rsidP="00C56BF4">
      <w:pPr>
        <w:jc w:val="center"/>
        <w:rPr>
          <w:rFonts w:ascii="Calibri" w:eastAsiaTheme="majorEastAsia" w:hAnsi="Calibri"/>
        </w:rPr>
      </w:pPr>
    </w:p>
    <w:p w:rsidR="00C56BF4" w:rsidRPr="00AB4D45" w:rsidRDefault="00C56BF4" w:rsidP="00C56BF4">
      <w:pPr>
        <w:rPr>
          <w:rFonts w:ascii="Calibri" w:eastAsiaTheme="majorEastAsia" w:hAnsi="Calibri"/>
        </w:rPr>
      </w:pPr>
      <w:proofErr w:type="gramStart"/>
      <w:r w:rsidRPr="00AB4D45">
        <w:rPr>
          <w:rFonts w:ascii="Calibri" w:eastAsiaTheme="majorEastAsia" w:hAnsi="Calibri"/>
        </w:rPr>
        <w:t>講次</w:t>
      </w:r>
      <w:proofErr w:type="gramEnd"/>
      <w:r w:rsidRPr="00AB4D45">
        <w:rPr>
          <w:rFonts w:ascii="Calibri" w:eastAsiaTheme="majorEastAsia" w:hAnsi="Calibri"/>
        </w:rPr>
        <w:t>：第</w:t>
      </w:r>
      <w:r w:rsidR="005825BB" w:rsidRPr="00AB4D45">
        <w:rPr>
          <w:rFonts w:ascii="Calibri" w:eastAsiaTheme="majorEastAsia" w:hAnsi="Calibri"/>
        </w:rPr>
        <w:t>10</w:t>
      </w:r>
      <w:r w:rsidRPr="00AB4D45">
        <w:rPr>
          <w:rFonts w:ascii="Calibri" w:eastAsiaTheme="majorEastAsia" w:hAnsi="Calibri"/>
        </w:rPr>
        <w:t>講</w:t>
      </w:r>
    </w:p>
    <w:p w:rsidR="00C56BF4" w:rsidRPr="00AB4D45" w:rsidRDefault="00C56BF4" w:rsidP="00C56BF4">
      <w:pPr>
        <w:rPr>
          <w:rFonts w:ascii="Calibri" w:eastAsiaTheme="majorEastAsia" w:hAnsi="Calibri"/>
        </w:rPr>
      </w:pPr>
      <w:r w:rsidRPr="00AB4D45">
        <w:rPr>
          <w:rFonts w:ascii="Calibri" w:eastAsiaTheme="majorEastAsia" w:hAnsi="Calibri"/>
        </w:rPr>
        <w:t>講題：</w:t>
      </w:r>
      <w:r w:rsidR="005825BB" w:rsidRPr="00AB4D45">
        <w:rPr>
          <w:rFonts w:ascii="Calibri" w:eastAsiaTheme="majorEastAsia" w:hAnsi="Calibri" w:hint="eastAsia"/>
        </w:rPr>
        <w:t>一座城市的繁華與成功，與成功背後的破敗與貧窮</w:t>
      </w:r>
    </w:p>
    <w:p w:rsidR="00C56BF4" w:rsidRPr="00AB4D45" w:rsidRDefault="00C56BF4" w:rsidP="00C56BF4">
      <w:pPr>
        <w:rPr>
          <w:rFonts w:ascii="Calibri" w:eastAsiaTheme="majorEastAsia" w:hAnsi="Calibri"/>
        </w:rPr>
      </w:pPr>
      <w:r w:rsidRPr="00AB4D45">
        <w:rPr>
          <w:rFonts w:ascii="Calibri" w:eastAsiaTheme="majorEastAsia" w:hAnsi="Calibri"/>
        </w:rPr>
        <w:t>講者：</w:t>
      </w:r>
      <w:r w:rsidR="005825BB" w:rsidRPr="00AB4D45">
        <w:rPr>
          <w:rFonts w:ascii="Calibri" w:eastAsiaTheme="majorEastAsia" w:hAnsi="Calibri" w:hint="eastAsia"/>
        </w:rPr>
        <w:t>巫彥德</w:t>
      </w:r>
      <w:r w:rsidRPr="00AB4D45">
        <w:rPr>
          <w:rFonts w:ascii="Calibri" w:eastAsiaTheme="majorEastAsia" w:hAnsi="Calibri"/>
        </w:rPr>
        <w:t>老師</w:t>
      </w:r>
    </w:p>
    <w:p w:rsidR="00C56BF4" w:rsidRPr="00AB4D45" w:rsidRDefault="00C56BF4" w:rsidP="00C56BF4">
      <w:pPr>
        <w:rPr>
          <w:rFonts w:ascii="Calibri" w:eastAsiaTheme="majorEastAsia" w:hAnsi="Calibri"/>
        </w:rPr>
      </w:pPr>
      <w:r w:rsidRPr="00AB4D45">
        <w:rPr>
          <w:rFonts w:ascii="Calibri" w:eastAsiaTheme="majorEastAsia" w:hAnsi="Calibri"/>
        </w:rPr>
        <w:t>時間：</w:t>
      </w:r>
      <w:r w:rsidRPr="00AB4D45">
        <w:rPr>
          <w:rFonts w:ascii="Calibri" w:eastAsiaTheme="majorEastAsia" w:hAnsi="Calibri"/>
        </w:rPr>
        <w:t>2019/</w:t>
      </w:r>
      <w:r w:rsidR="00AD64AF" w:rsidRPr="00AB4D45">
        <w:rPr>
          <w:rFonts w:ascii="Calibri" w:eastAsiaTheme="majorEastAsia" w:hAnsi="Calibri" w:hint="eastAsia"/>
        </w:rPr>
        <w:t>1</w:t>
      </w:r>
      <w:r w:rsidR="005825BB" w:rsidRPr="00AB4D45">
        <w:rPr>
          <w:rFonts w:ascii="Calibri" w:eastAsiaTheme="majorEastAsia" w:hAnsi="Calibri"/>
        </w:rPr>
        <w:t>2/6</w:t>
      </w:r>
      <w:r w:rsidRPr="00AB4D45">
        <w:rPr>
          <w:rFonts w:ascii="Calibri" w:eastAsiaTheme="majorEastAsia" w:hAnsi="Calibri"/>
        </w:rPr>
        <w:t>（五）</w:t>
      </w:r>
      <w:r w:rsidRPr="00AB4D45">
        <w:rPr>
          <w:rFonts w:ascii="Calibri" w:eastAsiaTheme="majorEastAsia" w:hAnsi="Calibri"/>
        </w:rPr>
        <w:t>Am10:20 ~12:00</w:t>
      </w:r>
    </w:p>
    <w:p w:rsidR="00C56BF4" w:rsidRPr="00AB4D45" w:rsidRDefault="00C56BF4" w:rsidP="00C56BF4">
      <w:pPr>
        <w:rPr>
          <w:rFonts w:ascii="Calibri" w:eastAsiaTheme="majorEastAsia" w:hAnsi="Calibri"/>
        </w:rPr>
      </w:pPr>
      <w:r w:rsidRPr="00AB4D45">
        <w:rPr>
          <w:rFonts w:ascii="Calibri" w:eastAsiaTheme="majorEastAsia" w:hAnsi="Calibri"/>
        </w:rPr>
        <w:t>地點：圖書資訊館</w:t>
      </w:r>
      <w:r w:rsidRPr="00AB4D45">
        <w:rPr>
          <w:rFonts w:ascii="Calibri" w:eastAsiaTheme="majorEastAsia" w:hAnsi="Calibri"/>
        </w:rPr>
        <w:t xml:space="preserve"> 1F </w:t>
      </w:r>
      <w:r w:rsidRPr="00AB4D45">
        <w:rPr>
          <w:rFonts w:ascii="Calibri" w:eastAsiaTheme="majorEastAsia" w:hAnsi="Calibri"/>
        </w:rPr>
        <w:t>湖畔講堂</w:t>
      </w:r>
    </w:p>
    <w:p w:rsidR="00D81946" w:rsidRPr="00AB4D45" w:rsidRDefault="00C56BF4" w:rsidP="00C56BF4">
      <w:pPr>
        <w:rPr>
          <w:rFonts w:ascii="Calibri" w:eastAsiaTheme="majorEastAsia" w:hAnsi="Calibri"/>
        </w:rPr>
      </w:pPr>
      <w:r w:rsidRPr="00AB4D45">
        <w:rPr>
          <w:rFonts w:ascii="Calibri" w:eastAsiaTheme="majorEastAsia" w:hAnsi="Calibri"/>
        </w:rPr>
        <w:t>記錄：楊蘊辰</w:t>
      </w:r>
    </w:p>
    <w:p w:rsidR="00C56BF4" w:rsidRPr="00AB4D45" w:rsidRDefault="00C56BF4" w:rsidP="00C56BF4">
      <w:pPr>
        <w:rPr>
          <w:rFonts w:ascii="Calibri" w:eastAsiaTheme="majorEastAsia" w:hAnsi="Calibri"/>
        </w:rPr>
      </w:pPr>
    </w:p>
    <w:p w:rsidR="005825BB" w:rsidRPr="00AB4D45" w:rsidRDefault="00311B74" w:rsidP="00A62AF8">
      <w:pPr>
        <w:widowControl/>
        <w:rPr>
          <w:rFonts w:ascii="Calibri" w:eastAsiaTheme="majorEastAsia" w:hAnsi="Calibri"/>
        </w:rPr>
      </w:pPr>
      <w:r w:rsidRPr="00AB4D45">
        <w:rPr>
          <w:rFonts w:ascii="Calibri" w:eastAsiaTheme="majorEastAsia" w:hAnsi="Calibri"/>
        </w:rPr>
        <w:tab/>
      </w:r>
      <w:r w:rsidR="005825BB" w:rsidRPr="00AB4D45">
        <w:rPr>
          <w:rFonts w:ascii="Calibri" w:eastAsiaTheme="majorEastAsia" w:hAnsi="Calibri" w:hint="eastAsia"/>
        </w:rPr>
        <w:t>「貧窮」等於「失敗」嗎？講師首先提出問題讓大家進行反思。世界上最成功的人，大家認為是誰？賈伯斯？比爾蓋茲？</w:t>
      </w:r>
      <w:proofErr w:type="gramStart"/>
      <w:r w:rsidR="005825BB" w:rsidRPr="00AB4D45">
        <w:rPr>
          <w:rFonts w:ascii="Calibri" w:eastAsiaTheme="majorEastAsia" w:hAnsi="Calibri" w:hint="eastAsia"/>
        </w:rPr>
        <w:t>馬雲</w:t>
      </w:r>
      <w:proofErr w:type="gramEnd"/>
      <w:r w:rsidR="005825BB" w:rsidRPr="00AB4D45">
        <w:rPr>
          <w:rFonts w:ascii="Calibri" w:eastAsiaTheme="majorEastAsia" w:hAnsi="Calibri" w:hint="eastAsia"/>
        </w:rPr>
        <w:t>？現今的世代普遍認為，富有即等於成功。所以講師所屬的「人生百味股份有限公司」，即是以消除貧窮為宗旨，也是消除失敗。</w:t>
      </w:r>
    </w:p>
    <w:p w:rsidR="00BD3F7E" w:rsidRPr="00AB4D45" w:rsidRDefault="005825BB" w:rsidP="00A62AF8">
      <w:pPr>
        <w:widowControl/>
        <w:rPr>
          <w:rFonts w:ascii="Calibri" w:eastAsiaTheme="majorEastAsia" w:hAnsi="Calibri"/>
        </w:rPr>
      </w:pPr>
      <w:r w:rsidRPr="00AB4D45">
        <w:rPr>
          <w:rFonts w:ascii="Calibri" w:eastAsiaTheme="majorEastAsia" w:hAnsi="Calibri"/>
        </w:rPr>
        <w:tab/>
      </w:r>
      <w:r w:rsidR="00EB13A4" w:rsidRPr="00AB4D45">
        <w:rPr>
          <w:rFonts w:ascii="Calibri" w:eastAsiaTheme="majorEastAsia" w:hAnsi="Calibri" w:hint="eastAsia"/>
        </w:rPr>
        <w:t>接著講師播放了一個影片《關於上癮的一切你所知道都是錯的》，此影片在談美國對毒癮的認知，其實毒品不是毒癮的主要成因，社會連結才是</w:t>
      </w:r>
      <w:r w:rsidR="00BD3F7E" w:rsidRPr="00AB4D45">
        <w:rPr>
          <w:rFonts w:ascii="Calibri" w:eastAsiaTheme="majorEastAsia" w:hAnsi="Calibri" w:hint="eastAsia"/>
        </w:rPr>
        <w:t>：</w:t>
      </w:r>
    </w:p>
    <w:p w:rsidR="00BD3F7E" w:rsidRPr="00AB4D45" w:rsidRDefault="00BD3F7E" w:rsidP="00A62AF8">
      <w:pPr>
        <w:widowControl/>
        <w:rPr>
          <w:rFonts w:ascii="Calibri" w:eastAsiaTheme="majorEastAsia" w:hAnsi="Calibri"/>
        </w:rPr>
      </w:pPr>
    </w:p>
    <w:p w:rsidR="005825BB" w:rsidRPr="00AB4D45" w:rsidRDefault="00EB13A4" w:rsidP="00BD3F7E">
      <w:pPr>
        <w:widowControl/>
        <w:ind w:firstLine="480"/>
        <w:rPr>
          <w:rFonts w:ascii="Calibri" w:eastAsia="標楷體" w:hAnsi="Calibri"/>
        </w:rPr>
      </w:pPr>
      <w:r w:rsidRPr="00AB4D45">
        <w:rPr>
          <w:rFonts w:ascii="Calibri" w:hAnsi="Calibri" w:cs="Arial"/>
          <w:shd w:val="clear" w:color="auto" w:fill="FFFFFF"/>
        </w:rPr>
        <w:t>人</w:t>
      </w:r>
      <w:r w:rsidRPr="00AB4D45">
        <w:rPr>
          <w:rFonts w:ascii="Calibri" w:eastAsia="標楷體" w:hAnsi="Calibri" w:cs="Arial"/>
          <w:shd w:val="clear" w:color="auto" w:fill="FFFFFF"/>
        </w:rPr>
        <w:t>類天生就是需要與他人互相連結。當我們健康愉悅時，我們會和親友、嗜好、休閒、運動等建立並維繫連結。但如果</w:t>
      </w:r>
      <w:proofErr w:type="gramStart"/>
      <w:r w:rsidRPr="00AB4D45">
        <w:rPr>
          <w:rFonts w:ascii="Calibri" w:eastAsia="標楷體" w:hAnsi="Calibri" w:cs="Arial"/>
          <w:shd w:val="clear" w:color="auto" w:fill="FFFFFF"/>
        </w:rPr>
        <w:t>一</w:t>
      </w:r>
      <w:proofErr w:type="gramEnd"/>
      <w:r w:rsidRPr="00AB4D45">
        <w:rPr>
          <w:rFonts w:ascii="Calibri" w:eastAsia="標楷體" w:hAnsi="Calibri" w:cs="Arial"/>
          <w:shd w:val="clear" w:color="auto" w:fill="FFFFFF"/>
        </w:rPr>
        <w:t>個人因為心理創傷、孤立或遭生活壓力</w:t>
      </w:r>
      <w:proofErr w:type="gramStart"/>
      <w:r w:rsidRPr="00AB4D45">
        <w:rPr>
          <w:rFonts w:ascii="Calibri" w:eastAsia="標楷體" w:hAnsi="Calibri" w:cs="Arial"/>
          <w:shd w:val="clear" w:color="auto" w:fill="FFFFFF"/>
        </w:rPr>
        <w:t>擊垮而無法</w:t>
      </w:r>
      <w:proofErr w:type="gramEnd"/>
      <w:r w:rsidRPr="00AB4D45">
        <w:rPr>
          <w:rFonts w:ascii="Calibri" w:eastAsia="標楷體" w:hAnsi="Calibri" w:cs="Arial"/>
          <w:shd w:val="clear" w:color="auto" w:fill="FFFFFF"/>
        </w:rPr>
        <w:t>與這些正向的人事物連結，為了滿足基本需求，便會與賭博、</w:t>
      </w:r>
      <w:proofErr w:type="gramStart"/>
      <w:r w:rsidRPr="00AB4D45">
        <w:rPr>
          <w:rFonts w:ascii="Calibri" w:eastAsia="標楷體" w:hAnsi="Calibri" w:cs="Arial"/>
          <w:shd w:val="clear" w:color="auto" w:fill="FFFFFF"/>
        </w:rPr>
        <w:t>情色或</w:t>
      </w:r>
      <w:proofErr w:type="gramEnd"/>
      <w:r w:rsidRPr="00AB4D45">
        <w:rPr>
          <w:rFonts w:ascii="Calibri" w:eastAsia="標楷體" w:hAnsi="Calibri" w:cs="Arial"/>
          <w:shd w:val="clear" w:color="auto" w:fill="FFFFFF"/>
        </w:rPr>
        <w:t>毒品作出連結。</w:t>
      </w:r>
      <w:r w:rsidR="00BD3F7E" w:rsidRPr="00AB4D45">
        <w:rPr>
          <w:rFonts w:ascii="Calibri" w:eastAsia="標楷體" w:hAnsi="Calibri" w:cs="Arial"/>
          <w:shd w:val="clear" w:color="auto" w:fill="FFFFFF"/>
        </w:rPr>
        <w:t>…</w:t>
      </w:r>
      <w:proofErr w:type="gramStart"/>
      <w:r w:rsidR="00BD3F7E" w:rsidRPr="00AB4D45">
        <w:rPr>
          <w:rFonts w:ascii="Calibri" w:eastAsia="標楷體" w:hAnsi="Calibri" w:cs="Arial"/>
          <w:shd w:val="clear" w:color="auto" w:fill="FFFFFF"/>
        </w:rPr>
        <w:t>…</w:t>
      </w:r>
      <w:proofErr w:type="gramEnd"/>
      <w:r w:rsidR="00BD3F7E" w:rsidRPr="00AB4D45">
        <w:rPr>
          <w:rFonts w:ascii="Calibri" w:eastAsia="標楷體" w:hAnsi="Calibri" w:cs="Arial"/>
          <w:shd w:val="clear" w:color="auto" w:fill="FFFFFF"/>
        </w:rPr>
        <w:t>如果你能與正向的人事物連結，自然就不會與賭博、</w:t>
      </w:r>
      <w:proofErr w:type="gramStart"/>
      <w:r w:rsidR="00BD3F7E" w:rsidRPr="00AB4D45">
        <w:rPr>
          <w:rFonts w:ascii="Calibri" w:eastAsia="標楷體" w:hAnsi="Calibri" w:cs="Arial"/>
          <w:shd w:val="clear" w:color="auto" w:fill="FFFFFF"/>
        </w:rPr>
        <w:t>情色或</w:t>
      </w:r>
      <w:proofErr w:type="gramEnd"/>
      <w:r w:rsidR="00BD3F7E" w:rsidRPr="00AB4D45">
        <w:rPr>
          <w:rFonts w:ascii="Calibri" w:eastAsia="標楷體" w:hAnsi="Calibri" w:cs="Arial"/>
          <w:shd w:val="clear" w:color="auto" w:fill="FFFFFF"/>
        </w:rPr>
        <w:t>毒品作出連結，因為你有你愛的工作、你愛的人、健康的關係等，所以即使週末會喝酒助興，但你不會對酒精上癮，更不會想去吸食毒品。</w:t>
      </w:r>
      <w:r w:rsidR="00BD3F7E" w:rsidRPr="00AB4D45">
        <w:rPr>
          <w:rStyle w:val="a6"/>
          <w:rFonts w:ascii="Calibri" w:eastAsia="標楷體" w:hAnsi="Calibri"/>
        </w:rPr>
        <w:footnoteReference w:id="1"/>
      </w:r>
    </w:p>
    <w:p w:rsidR="001C2FEE" w:rsidRPr="00AB4D45" w:rsidRDefault="001C2FEE" w:rsidP="00AD64AF">
      <w:pPr>
        <w:rPr>
          <w:rFonts w:ascii="Calibri" w:hAnsi="Calibri" w:cs="Helvetica"/>
          <w:shd w:val="clear" w:color="auto" w:fill="FFFFFF"/>
        </w:rPr>
      </w:pPr>
    </w:p>
    <w:p w:rsidR="00AB4D45" w:rsidRPr="00AB4D45" w:rsidRDefault="00BD3F7E" w:rsidP="00AB4D45">
      <w:pPr>
        <w:widowControl/>
        <w:ind w:firstLineChars="200" w:firstLine="480"/>
        <w:rPr>
          <w:rFonts w:ascii="Calibri" w:eastAsiaTheme="majorEastAsia" w:hAnsi="Calibri" w:hint="eastAsia"/>
        </w:rPr>
      </w:pPr>
      <w:r w:rsidRPr="00AB4D45">
        <w:rPr>
          <w:rFonts w:ascii="Calibri" w:eastAsiaTheme="majorEastAsia" w:hAnsi="Calibri" w:hint="eastAsia"/>
        </w:rPr>
        <w:t>街友的處境與毒癮者相同，當人們缺乏與家庭、社會的連結，失去積極向上的動力，才會無止境地向下</w:t>
      </w:r>
      <w:proofErr w:type="gramStart"/>
      <w:r w:rsidRPr="00AB4D45">
        <w:rPr>
          <w:rFonts w:ascii="Calibri" w:eastAsiaTheme="majorEastAsia" w:hAnsi="Calibri" w:hint="eastAsia"/>
        </w:rPr>
        <w:t>沉淪</w:t>
      </w:r>
      <w:proofErr w:type="gramEnd"/>
      <w:r w:rsidRPr="00AB4D45">
        <w:rPr>
          <w:rFonts w:ascii="Calibri" w:eastAsiaTheme="majorEastAsia" w:hAnsi="Calibri" w:hint="eastAsia"/>
        </w:rPr>
        <w:t>，街友與毒癮者皆需要社會的包容。講師提到，好吃懶做的背後，是關係的斷裂；缺乏社會連結，是許多人無法離開流浪生活的原因，失去目標的人難以努力，而痛苦是需要被感同身受的。</w:t>
      </w:r>
    </w:p>
    <w:p w:rsidR="00AB4D45" w:rsidRPr="00AB4D45" w:rsidRDefault="00D7575C" w:rsidP="00AB4D45">
      <w:pPr>
        <w:widowControl/>
        <w:ind w:firstLineChars="200" w:firstLine="480"/>
        <w:rPr>
          <w:rFonts w:ascii="Calibri" w:eastAsiaTheme="majorEastAsia" w:hAnsi="Calibri" w:hint="eastAsia"/>
        </w:rPr>
      </w:pPr>
      <w:r w:rsidRPr="00AB4D45">
        <w:rPr>
          <w:rFonts w:ascii="Calibri" w:eastAsiaTheme="majorEastAsia" w:hAnsi="Calibri" w:hint="eastAsia"/>
        </w:rPr>
        <w:t>講師舉了一個例子來說明：當一位街友／一位旅客的物品不見，遭受的待遇肯定是大不同的，這顯示了人們一旦陷入貧窮，便不被社會所接受。街友想要找工作、租房</w:t>
      </w:r>
      <w:r w:rsidR="00014B17" w:rsidRPr="00AB4D45">
        <w:rPr>
          <w:rFonts w:ascii="Calibri" w:eastAsiaTheme="majorEastAsia" w:hAnsi="Calibri" w:hint="eastAsia"/>
        </w:rPr>
        <w:t>，都比一般人更加困難，環環相扣的現象使他們更難以脫離現狀。</w:t>
      </w:r>
      <w:r w:rsidR="00014B17" w:rsidRPr="00AB4D45">
        <w:rPr>
          <w:rFonts w:ascii="Calibri" w:eastAsiaTheme="majorEastAsia" w:hAnsi="Calibri"/>
        </w:rPr>
        <w:footnoteReference w:id="2"/>
      </w:r>
      <w:r w:rsidR="00014B17" w:rsidRPr="00AB4D45">
        <w:rPr>
          <w:rFonts w:ascii="Calibri" w:eastAsiaTheme="majorEastAsia" w:hAnsi="Calibri" w:hint="eastAsia"/>
        </w:rPr>
        <w:t>所以在根本上要改變的不是貧窮，而是社會對於貧窮的意識。</w:t>
      </w:r>
    </w:p>
    <w:p w:rsidR="00014B17" w:rsidRPr="00AB4D45" w:rsidRDefault="00014B17" w:rsidP="00AB4D45">
      <w:pPr>
        <w:widowControl/>
        <w:ind w:firstLineChars="200" w:firstLine="480"/>
        <w:rPr>
          <w:rFonts w:ascii="Calibri" w:eastAsiaTheme="majorEastAsia" w:hAnsi="Calibri"/>
        </w:rPr>
      </w:pPr>
      <w:r w:rsidRPr="00AB4D45">
        <w:rPr>
          <w:rFonts w:ascii="Calibri" w:eastAsiaTheme="majorEastAsia" w:hAnsi="Calibri" w:hint="eastAsia"/>
        </w:rPr>
        <w:t>「人生百味股份有限公司」在</w:t>
      </w:r>
      <w:r w:rsidRPr="00AB4D45">
        <w:rPr>
          <w:rFonts w:ascii="Calibri" w:eastAsiaTheme="majorEastAsia" w:hAnsi="Calibri" w:hint="eastAsia"/>
        </w:rPr>
        <w:t>2019</w:t>
      </w:r>
      <w:r w:rsidRPr="00AB4D45">
        <w:rPr>
          <w:rFonts w:ascii="Calibri" w:eastAsiaTheme="majorEastAsia" w:hAnsi="Calibri" w:hint="eastAsia"/>
        </w:rPr>
        <w:t>年與其他基金會合作，推出了一個「人生萬事屋」企劃，這是弱勢族群的互助計畫。請街友們組成清潔隊，去打掃獨居者（多為獨居老人或身障者）的房屋，一</w:t>
      </w:r>
      <w:bookmarkStart w:id="0" w:name="_GoBack"/>
      <w:bookmarkEnd w:id="0"/>
      <w:r w:rsidRPr="00AB4D45">
        <w:rPr>
          <w:rFonts w:ascii="Calibri" w:eastAsiaTheme="majorEastAsia" w:hAnsi="Calibri" w:hint="eastAsia"/>
        </w:rPr>
        <w:t>方面</w:t>
      </w:r>
      <w:proofErr w:type="gramStart"/>
      <w:r w:rsidRPr="00AB4D45">
        <w:rPr>
          <w:rFonts w:ascii="Calibri" w:eastAsiaTheme="majorEastAsia" w:hAnsi="Calibri" w:hint="eastAsia"/>
        </w:rPr>
        <w:t>能夠讓街友</w:t>
      </w:r>
      <w:proofErr w:type="gramEnd"/>
      <w:r w:rsidRPr="00AB4D45">
        <w:rPr>
          <w:rFonts w:ascii="Calibri" w:eastAsiaTheme="majorEastAsia" w:hAnsi="Calibri" w:hint="eastAsia"/>
        </w:rPr>
        <w:t>們賺取一些生活費，一方面也能幫助更為弱勢的獨居族群，達到真正的互助成效。</w:t>
      </w:r>
    </w:p>
    <w:sectPr w:rsidR="00014B17" w:rsidRPr="00AB4D45" w:rsidSect="00AB4D4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AE2" w:rsidRDefault="00780AE2" w:rsidP="00BD3F7E">
      <w:r>
        <w:separator/>
      </w:r>
    </w:p>
  </w:endnote>
  <w:endnote w:type="continuationSeparator" w:id="0">
    <w:p w:rsidR="00780AE2" w:rsidRDefault="00780AE2" w:rsidP="00BD3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AE2" w:rsidRDefault="00780AE2" w:rsidP="00BD3F7E">
      <w:r>
        <w:separator/>
      </w:r>
    </w:p>
  </w:footnote>
  <w:footnote w:type="continuationSeparator" w:id="0">
    <w:p w:rsidR="00780AE2" w:rsidRDefault="00780AE2" w:rsidP="00BD3F7E">
      <w:r>
        <w:continuationSeparator/>
      </w:r>
    </w:p>
  </w:footnote>
  <w:footnote w:id="1">
    <w:p w:rsidR="00BD3F7E" w:rsidRPr="00014B17" w:rsidRDefault="00BD3F7E" w:rsidP="00BD3F7E">
      <w:pPr>
        <w:pStyle w:val="1"/>
        <w:shd w:val="clear" w:color="auto" w:fill="FFFFFF"/>
        <w:spacing w:before="0" w:beforeAutospacing="0" w:after="0" w:afterAutospacing="0"/>
        <w:rPr>
          <w:rFonts w:ascii="標楷體" w:eastAsia="標楷體" w:hAnsi="標楷體" w:cs="Arial"/>
          <w:b w:val="0"/>
          <w:bCs w:val="0"/>
          <w:sz w:val="20"/>
          <w:szCs w:val="20"/>
        </w:rPr>
      </w:pPr>
      <w:r w:rsidRPr="00014B17">
        <w:rPr>
          <w:rStyle w:val="a6"/>
          <w:rFonts w:ascii="標楷體" w:eastAsia="標楷體" w:hAnsi="標楷體"/>
          <w:b w:val="0"/>
          <w:bCs w:val="0"/>
          <w:sz w:val="20"/>
          <w:szCs w:val="20"/>
        </w:rPr>
        <w:footnoteRef/>
      </w:r>
      <w:r w:rsidRPr="00014B17">
        <w:rPr>
          <w:rFonts w:ascii="標楷體" w:eastAsia="標楷體" w:hAnsi="標楷體"/>
          <w:b w:val="0"/>
          <w:bCs w:val="0"/>
          <w:sz w:val="20"/>
          <w:szCs w:val="20"/>
        </w:rPr>
        <w:t xml:space="preserve"> </w:t>
      </w:r>
      <w:proofErr w:type="gramStart"/>
      <w:r w:rsidRPr="00014B17">
        <w:rPr>
          <w:rFonts w:ascii="標楷體" w:eastAsia="標楷體" w:hAnsi="標楷體" w:hint="eastAsia"/>
          <w:b w:val="0"/>
          <w:bCs w:val="0"/>
          <w:sz w:val="20"/>
          <w:szCs w:val="20"/>
        </w:rPr>
        <w:t>〈</w:t>
      </w:r>
      <w:proofErr w:type="gramEnd"/>
      <w:r w:rsidRPr="00014B17">
        <w:rPr>
          <w:rFonts w:ascii="標楷體" w:eastAsia="標楷體" w:hAnsi="標楷體" w:cs="Arial"/>
          <w:b w:val="0"/>
          <w:bCs w:val="0"/>
          <w:sz w:val="20"/>
          <w:szCs w:val="20"/>
        </w:rPr>
        <w:t>你所知道關於毒癮的一切都是錯的！？</w:t>
      </w:r>
      <w:r w:rsidRPr="00014B17">
        <w:rPr>
          <w:rFonts w:ascii="標楷體" w:eastAsia="標楷體" w:hAnsi="標楷體" w:cs="Arial" w:hint="eastAsia"/>
          <w:b w:val="0"/>
          <w:bCs w:val="0"/>
          <w:sz w:val="20"/>
          <w:szCs w:val="20"/>
        </w:rPr>
        <w:t>〉，阿伯的生活實驗筆記，</w:t>
      </w:r>
      <w:hyperlink r:id="rId1" w:history="1">
        <w:r w:rsidR="00014B17" w:rsidRPr="00014B17">
          <w:rPr>
            <w:rStyle w:val="a7"/>
            <w:rFonts w:ascii="標楷體" w:eastAsia="標楷體" w:hAnsi="標楷體"/>
            <w:b w:val="0"/>
            <w:bCs w:val="0"/>
            <w:color w:val="auto"/>
            <w:sz w:val="20"/>
            <w:szCs w:val="20"/>
          </w:rPr>
          <w:t>http://yabroblog.com/tedx30days12/</w:t>
        </w:r>
      </w:hyperlink>
      <w:r w:rsidR="00014B17" w:rsidRPr="00014B17">
        <w:rPr>
          <w:rFonts w:ascii="標楷體" w:eastAsia="標楷體" w:hAnsi="標楷體" w:cs="Arial" w:hint="eastAsia"/>
          <w:b w:val="0"/>
          <w:bCs w:val="0"/>
          <w:color w:val="272727"/>
          <w:sz w:val="20"/>
          <w:szCs w:val="20"/>
        </w:rPr>
        <w:t xml:space="preserve"> </w:t>
      </w:r>
      <w:r w:rsidR="00014B17">
        <w:rPr>
          <w:rFonts w:ascii="標楷體" w:eastAsia="標楷體" w:hAnsi="標楷體" w:cs="Arial" w:hint="eastAsia"/>
          <w:b w:val="0"/>
          <w:bCs w:val="0"/>
          <w:color w:val="272727"/>
          <w:sz w:val="20"/>
          <w:szCs w:val="20"/>
        </w:rPr>
        <w:t>。</w:t>
      </w:r>
    </w:p>
  </w:footnote>
  <w:footnote w:id="2">
    <w:p w:rsidR="00014B17" w:rsidRDefault="00014B17">
      <w:pPr>
        <w:pStyle w:val="a4"/>
      </w:pPr>
      <w:r w:rsidRPr="00014B17">
        <w:rPr>
          <w:rStyle w:val="a6"/>
          <w:rFonts w:ascii="標楷體" w:eastAsia="標楷體" w:hAnsi="標楷體"/>
        </w:rPr>
        <w:footnoteRef/>
      </w:r>
      <w:r w:rsidRPr="00014B17">
        <w:rPr>
          <w:rFonts w:ascii="標楷體" w:eastAsia="標楷體" w:hAnsi="標楷體"/>
        </w:rPr>
        <w:t xml:space="preserve"> </w:t>
      </w:r>
      <w:r w:rsidRPr="00014B17">
        <w:rPr>
          <w:rFonts w:ascii="標楷體" w:eastAsia="標楷體" w:hAnsi="標楷體" w:hint="eastAsia"/>
        </w:rPr>
        <w:t>勞動市場</w:t>
      </w:r>
      <w:r>
        <w:rPr>
          <w:rFonts w:ascii="標楷體" w:eastAsia="標楷體" w:hAnsi="標楷體" w:hint="eastAsia"/>
        </w:rPr>
        <w:t>、服務、社會關係的邊緣化。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54090"/>
    <w:multiLevelType w:val="hybridMultilevel"/>
    <w:tmpl w:val="494AFB8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F4"/>
    <w:rsid w:val="00005D31"/>
    <w:rsid w:val="00014B17"/>
    <w:rsid w:val="001455B2"/>
    <w:rsid w:val="001C2FEE"/>
    <w:rsid w:val="002713CC"/>
    <w:rsid w:val="002A4BEE"/>
    <w:rsid w:val="002A6689"/>
    <w:rsid w:val="002B50DF"/>
    <w:rsid w:val="00311B74"/>
    <w:rsid w:val="0032253D"/>
    <w:rsid w:val="00363726"/>
    <w:rsid w:val="003B0384"/>
    <w:rsid w:val="003B3922"/>
    <w:rsid w:val="003D6294"/>
    <w:rsid w:val="003F26FE"/>
    <w:rsid w:val="00550BB1"/>
    <w:rsid w:val="005825BB"/>
    <w:rsid w:val="005F6714"/>
    <w:rsid w:val="00626E82"/>
    <w:rsid w:val="006F5569"/>
    <w:rsid w:val="00780AE2"/>
    <w:rsid w:val="00813F08"/>
    <w:rsid w:val="00825379"/>
    <w:rsid w:val="00891E34"/>
    <w:rsid w:val="00966238"/>
    <w:rsid w:val="00981546"/>
    <w:rsid w:val="009829AE"/>
    <w:rsid w:val="00A24BFF"/>
    <w:rsid w:val="00A62AF8"/>
    <w:rsid w:val="00AB4D45"/>
    <w:rsid w:val="00AD64AF"/>
    <w:rsid w:val="00BD3F7E"/>
    <w:rsid w:val="00C5194C"/>
    <w:rsid w:val="00C56BF4"/>
    <w:rsid w:val="00C8441E"/>
    <w:rsid w:val="00C951D8"/>
    <w:rsid w:val="00D0254D"/>
    <w:rsid w:val="00D7575C"/>
    <w:rsid w:val="00D81946"/>
    <w:rsid w:val="00D87705"/>
    <w:rsid w:val="00DE0BE2"/>
    <w:rsid w:val="00EB13A4"/>
    <w:rsid w:val="00EB218D"/>
    <w:rsid w:val="00F01978"/>
    <w:rsid w:val="00F3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BD3F7E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E34"/>
    <w:pPr>
      <w:ind w:leftChars="200" w:left="480"/>
    </w:pPr>
  </w:style>
  <w:style w:type="paragraph" w:styleId="a4">
    <w:name w:val="footnote text"/>
    <w:basedOn w:val="a"/>
    <w:link w:val="a5"/>
    <w:rsid w:val="00BD3F7E"/>
    <w:pPr>
      <w:snapToGrid w:val="0"/>
    </w:pPr>
    <w:rPr>
      <w:sz w:val="20"/>
      <w:szCs w:val="20"/>
    </w:rPr>
  </w:style>
  <w:style w:type="character" w:customStyle="1" w:styleId="a5">
    <w:name w:val="註腳文字 字元"/>
    <w:basedOn w:val="a0"/>
    <w:link w:val="a4"/>
    <w:rsid w:val="00BD3F7E"/>
    <w:rPr>
      <w:kern w:val="2"/>
    </w:rPr>
  </w:style>
  <w:style w:type="character" w:styleId="a6">
    <w:name w:val="footnote reference"/>
    <w:basedOn w:val="a0"/>
    <w:rsid w:val="00BD3F7E"/>
    <w:rPr>
      <w:vertAlign w:val="superscript"/>
    </w:rPr>
  </w:style>
  <w:style w:type="character" w:styleId="a7">
    <w:name w:val="Hyperlink"/>
    <w:basedOn w:val="a0"/>
    <w:uiPriority w:val="99"/>
    <w:unhideWhenUsed/>
    <w:rsid w:val="00BD3F7E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BD3F7E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UnresolvedMention">
    <w:name w:val="Unresolved Mention"/>
    <w:basedOn w:val="a0"/>
    <w:uiPriority w:val="99"/>
    <w:semiHidden/>
    <w:unhideWhenUsed/>
    <w:rsid w:val="00BD3F7E"/>
    <w:rPr>
      <w:color w:val="605E5C"/>
      <w:shd w:val="clear" w:color="auto" w:fill="E1DFDD"/>
    </w:rPr>
  </w:style>
  <w:style w:type="paragraph" w:styleId="a8">
    <w:name w:val="header"/>
    <w:basedOn w:val="a"/>
    <w:link w:val="a9"/>
    <w:rsid w:val="00AB4D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AB4D45"/>
    <w:rPr>
      <w:kern w:val="2"/>
    </w:rPr>
  </w:style>
  <w:style w:type="paragraph" w:styleId="aa">
    <w:name w:val="footer"/>
    <w:basedOn w:val="a"/>
    <w:link w:val="ab"/>
    <w:rsid w:val="00AB4D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AB4D45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BD3F7E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E34"/>
    <w:pPr>
      <w:ind w:leftChars="200" w:left="480"/>
    </w:pPr>
  </w:style>
  <w:style w:type="paragraph" w:styleId="a4">
    <w:name w:val="footnote text"/>
    <w:basedOn w:val="a"/>
    <w:link w:val="a5"/>
    <w:rsid w:val="00BD3F7E"/>
    <w:pPr>
      <w:snapToGrid w:val="0"/>
    </w:pPr>
    <w:rPr>
      <w:sz w:val="20"/>
      <w:szCs w:val="20"/>
    </w:rPr>
  </w:style>
  <w:style w:type="character" w:customStyle="1" w:styleId="a5">
    <w:name w:val="註腳文字 字元"/>
    <w:basedOn w:val="a0"/>
    <w:link w:val="a4"/>
    <w:rsid w:val="00BD3F7E"/>
    <w:rPr>
      <w:kern w:val="2"/>
    </w:rPr>
  </w:style>
  <w:style w:type="character" w:styleId="a6">
    <w:name w:val="footnote reference"/>
    <w:basedOn w:val="a0"/>
    <w:rsid w:val="00BD3F7E"/>
    <w:rPr>
      <w:vertAlign w:val="superscript"/>
    </w:rPr>
  </w:style>
  <w:style w:type="character" w:styleId="a7">
    <w:name w:val="Hyperlink"/>
    <w:basedOn w:val="a0"/>
    <w:uiPriority w:val="99"/>
    <w:unhideWhenUsed/>
    <w:rsid w:val="00BD3F7E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BD3F7E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UnresolvedMention">
    <w:name w:val="Unresolved Mention"/>
    <w:basedOn w:val="a0"/>
    <w:uiPriority w:val="99"/>
    <w:semiHidden/>
    <w:unhideWhenUsed/>
    <w:rsid w:val="00BD3F7E"/>
    <w:rPr>
      <w:color w:val="605E5C"/>
      <w:shd w:val="clear" w:color="auto" w:fill="E1DFDD"/>
    </w:rPr>
  </w:style>
  <w:style w:type="paragraph" w:styleId="a8">
    <w:name w:val="header"/>
    <w:basedOn w:val="a"/>
    <w:link w:val="a9"/>
    <w:rsid w:val="00AB4D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AB4D45"/>
    <w:rPr>
      <w:kern w:val="2"/>
    </w:rPr>
  </w:style>
  <w:style w:type="paragraph" w:styleId="aa">
    <w:name w:val="footer"/>
    <w:basedOn w:val="a"/>
    <w:link w:val="ab"/>
    <w:rsid w:val="00AB4D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AB4D4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8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yabroblog.com/tedx30days12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EvaLee</cp:lastModifiedBy>
  <cp:revision>23</cp:revision>
  <cp:lastPrinted>2020-01-03T02:25:00Z</cp:lastPrinted>
  <dcterms:created xsi:type="dcterms:W3CDTF">2019-05-29T14:22:00Z</dcterms:created>
  <dcterms:modified xsi:type="dcterms:W3CDTF">2020-01-03T02:25:00Z</dcterms:modified>
</cp:coreProperties>
</file>